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52DE3" w:rsidRDefault="00F26783" w:rsidP="00960A59">
      <w:pPr>
        <w:ind w:right="1417"/>
        <w:rPr>
          <w:rFonts w:asciiTheme="majorHAnsi" w:hAnsiTheme="majorHAnsi" w:cstheme="majorHAnsi"/>
          <w:b/>
          <w:szCs w:val="22"/>
        </w:rPr>
      </w:pPr>
      <w:r w:rsidRPr="00F26783">
        <w:rPr>
          <w:rFonts w:asciiTheme="majorHAnsi" w:hAnsiTheme="majorHAnsi" w:cstheme="majorHAnsi"/>
          <w:noProof/>
          <w:color w:val="7F7F7F" w:themeColor="text1" w:themeTint="80"/>
        </w:rPr>
        <w:drawing>
          <wp:anchor distT="0" distB="0" distL="114300" distR="114300" simplePos="0" relativeHeight="251658240" behindDoc="0" locked="0" layoutInCell="1" allowOverlap="1">
            <wp:simplePos x="0" y="0"/>
            <wp:positionH relativeFrom="column">
              <wp:posOffset>4847590</wp:posOffset>
            </wp:positionH>
            <wp:positionV relativeFrom="paragraph">
              <wp:posOffset>10572</wp:posOffset>
            </wp:positionV>
            <wp:extent cx="1620000" cy="1620000"/>
            <wp:effectExtent l="0" t="0" r="0" b="0"/>
            <wp:wrapNone/>
            <wp:docPr id="5" name="Grafik 5" descr="G:\Marketing\Media_PR_und_Content\04_PR\Pressemitteilungen\2024\Spende 2024\Gruppenbild_1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Marketing\Media_PR_und_Content\04_PR\Pressemitteilungen\2024\Spende 2024\Gruppenbild_1_web.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20000" cy="1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hAnsiTheme="majorHAnsi" w:cstheme="majorHAnsi"/>
          <w:b/>
          <w:szCs w:val="22"/>
        </w:rPr>
        <w:t>10.000 Euro für h</w:t>
      </w:r>
      <w:r w:rsidRPr="00F26783">
        <w:rPr>
          <w:rFonts w:asciiTheme="majorHAnsi" w:hAnsiTheme="majorHAnsi" w:cstheme="majorHAnsi"/>
          <w:b/>
          <w:szCs w:val="22"/>
        </w:rPr>
        <w:t>immlische Ruh‘</w:t>
      </w:r>
      <w:r>
        <w:rPr>
          <w:rFonts w:asciiTheme="majorHAnsi" w:hAnsiTheme="majorHAnsi" w:cstheme="majorHAnsi"/>
          <w:b/>
          <w:szCs w:val="22"/>
        </w:rPr>
        <w:t xml:space="preserve"> – </w:t>
      </w:r>
      <w:proofErr w:type="spellStart"/>
      <w:r>
        <w:rPr>
          <w:rFonts w:asciiTheme="majorHAnsi" w:hAnsiTheme="majorHAnsi" w:cstheme="majorHAnsi"/>
          <w:b/>
          <w:szCs w:val="22"/>
        </w:rPr>
        <w:t>bott</w:t>
      </w:r>
      <w:proofErr w:type="spellEnd"/>
      <w:r>
        <w:rPr>
          <w:rFonts w:asciiTheme="majorHAnsi" w:hAnsiTheme="majorHAnsi" w:cstheme="majorHAnsi"/>
          <w:b/>
          <w:szCs w:val="22"/>
        </w:rPr>
        <w:t xml:space="preserve"> unterstützt Kindergarten</w:t>
      </w:r>
    </w:p>
    <w:p w:rsidR="00752DE3" w:rsidRPr="00752DE3" w:rsidRDefault="00752DE3" w:rsidP="00960A59">
      <w:pPr>
        <w:ind w:right="1417"/>
        <w:rPr>
          <w:rFonts w:asciiTheme="majorHAnsi" w:hAnsiTheme="majorHAnsi" w:cstheme="majorHAnsi"/>
          <w:sz w:val="20"/>
        </w:rPr>
      </w:pPr>
    </w:p>
    <w:p w:rsidR="00F26783" w:rsidRPr="00F26783" w:rsidRDefault="00F26783" w:rsidP="00960A59">
      <w:pPr>
        <w:ind w:right="1417"/>
        <w:rPr>
          <w:rFonts w:asciiTheme="majorHAnsi" w:hAnsiTheme="majorHAnsi" w:cstheme="majorHAnsi"/>
          <w:sz w:val="20"/>
        </w:rPr>
      </w:pPr>
      <w:r w:rsidRPr="00F26783">
        <w:rPr>
          <w:rFonts w:asciiTheme="majorHAnsi" w:hAnsiTheme="majorHAnsi" w:cstheme="majorHAnsi"/>
          <w:sz w:val="20"/>
        </w:rPr>
        <w:t xml:space="preserve">Aus dem vorhandenen Platz das Beste herauszuholen – das ist nicht nur das Bestreben der Bott Gruppe, die für ihre Fahrzeug- und Betriebseinrichtungen bekannt ist. Auch der zur </w:t>
      </w:r>
      <w:proofErr w:type="spellStart"/>
      <w:r w:rsidRPr="00F26783">
        <w:rPr>
          <w:rFonts w:asciiTheme="majorHAnsi" w:hAnsiTheme="majorHAnsi" w:cstheme="majorHAnsi"/>
          <w:sz w:val="20"/>
        </w:rPr>
        <w:t>Diakoneo</w:t>
      </w:r>
      <w:proofErr w:type="spellEnd"/>
      <w:r w:rsidRPr="00F26783">
        <w:rPr>
          <w:rFonts w:asciiTheme="majorHAnsi" w:hAnsiTheme="majorHAnsi" w:cstheme="majorHAnsi"/>
          <w:sz w:val="20"/>
        </w:rPr>
        <w:t xml:space="preserve"> Sonnenhof Schwäbisch Hall </w:t>
      </w:r>
      <w:r w:rsidR="00E37B05">
        <w:rPr>
          <w:rFonts w:asciiTheme="majorHAnsi" w:hAnsiTheme="majorHAnsi" w:cstheme="majorHAnsi"/>
          <w:sz w:val="20"/>
        </w:rPr>
        <w:t>g</w:t>
      </w:r>
      <w:r w:rsidRPr="00F26783">
        <w:rPr>
          <w:rFonts w:asciiTheme="majorHAnsi" w:hAnsiTheme="majorHAnsi" w:cstheme="majorHAnsi"/>
          <w:sz w:val="20"/>
        </w:rPr>
        <w:t>GmbH gehörende integrative K</w:t>
      </w:r>
      <w:bookmarkStart w:id="0" w:name="_GoBack"/>
      <w:bookmarkEnd w:id="0"/>
      <w:r w:rsidRPr="00F26783">
        <w:rPr>
          <w:rFonts w:asciiTheme="majorHAnsi" w:hAnsiTheme="majorHAnsi" w:cstheme="majorHAnsi"/>
          <w:sz w:val="20"/>
        </w:rPr>
        <w:t xml:space="preserve">indergarten in Gaildorf nutzt jeden Winkel, um den Aufenthalt seiner kleinen Gäste möglichst angenehm zu gestalten. Eine 10.000-Euro-Spende durch die Johanna-und-Wilhelm-Bott-Stiftung soll hier, in der Geburtsstadt der Bott Gruppe, </w:t>
      </w:r>
      <w:r w:rsidR="00960A59">
        <w:rPr>
          <w:rFonts w:asciiTheme="majorHAnsi" w:hAnsiTheme="majorHAnsi" w:cstheme="majorHAnsi"/>
          <w:sz w:val="20"/>
        </w:rPr>
        <w:t>für mehr Kindergarten-Schlafplätze sorgen.</w:t>
      </w:r>
    </w:p>
    <w:p w:rsidR="00F26783" w:rsidRDefault="00F26783" w:rsidP="00960A59">
      <w:pPr>
        <w:ind w:right="1417"/>
        <w:rPr>
          <w:rFonts w:asciiTheme="majorHAnsi" w:hAnsiTheme="majorHAnsi" w:cstheme="majorHAnsi"/>
          <w:sz w:val="20"/>
        </w:rPr>
      </w:pPr>
    </w:p>
    <w:p w:rsidR="00F26783" w:rsidRPr="00F26783" w:rsidRDefault="00F26783" w:rsidP="00960A59">
      <w:pPr>
        <w:ind w:right="1417"/>
        <w:rPr>
          <w:rFonts w:asciiTheme="majorHAnsi" w:hAnsiTheme="majorHAnsi" w:cstheme="majorHAnsi"/>
          <w:sz w:val="20"/>
        </w:rPr>
      </w:pPr>
      <w:r w:rsidRPr="00F26783">
        <w:rPr>
          <w:rFonts w:asciiTheme="majorHAnsi" w:hAnsiTheme="majorHAnsi" w:cstheme="majorHAnsi"/>
          <w:b/>
          <w:sz w:val="20"/>
        </w:rPr>
        <w:t>Gaildorf,</w:t>
      </w:r>
      <w:r w:rsidR="00E37B05" w:rsidRPr="00E37B05">
        <w:rPr>
          <w:rFonts w:asciiTheme="majorHAnsi" w:hAnsiTheme="majorHAnsi" w:cstheme="majorHAnsi"/>
          <w:b/>
          <w:sz w:val="20"/>
        </w:rPr>
        <w:t xml:space="preserve"> 10</w:t>
      </w:r>
      <w:r w:rsidRPr="00E37B05">
        <w:rPr>
          <w:rFonts w:asciiTheme="majorHAnsi" w:hAnsiTheme="majorHAnsi" w:cstheme="majorHAnsi"/>
          <w:b/>
          <w:sz w:val="20"/>
        </w:rPr>
        <w:t>. Dezember 2024</w:t>
      </w:r>
      <w:r w:rsidRPr="00F26783">
        <w:rPr>
          <w:rFonts w:asciiTheme="majorHAnsi" w:hAnsiTheme="majorHAnsi" w:cstheme="majorHAnsi"/>
          <w:b/>
          <w:sz w:val="20"/>
        </w:rPr>
        <w:t>:</w:t>
      </w:r>
      <w:r w:rsidRPr="00F26783">
        <w:rPr>
          <w:rFonts w:asciiTheme="majorHAnsi" w:hAnsiTheme="majorHAnsi" w:cstheme="majorHAnsi"/>
          <w:sz w:val="20"/>
        </w:rPr>
        <w:t xml:space="preserve"> Es ist eng geworden im Schlafraum des </w:t>
      </w:r>
      <w:proofErr w:type="spellStart"/>
      <w:r w:rsidRPr="00F26783">
        <w:rPr>
          <w:rFonts w:asciiTheme="majorHAnsi" w:hAnsiTheme="majorHAnsi" w:cstheme="majorHAnsi"/>
          <w:sz w:val="20"/>
        </w:rPr>
        <w:t>Gaildorfer</w:t>
      </w:r>
      <w:proofErr w:type="spellEnd"/>
      <w:r w:rsidRPr="00F26783">
        <w:rPr>
          <w:rFonts w:asciiTheme="majorHAnsi" w:hAnsiTheme="majorHAnsi" w:cstheme="majorHAnsi"/>
          <w:sz w:val="20"/>
        </w:rPr>
        <w:t xml:space="preserve"> integrativen Kindergartens: Von Jahr zu Jahr gibt es hier mehr sogenannte „Schlafkinder“ – also solche </w:t>
      </w:r>
      <w:r w:rsidR="00E37B05">
        <w:rPr>
          <w:rFonts w:asciiTheme="majorHAnsi" w:hAnsiTheme="majorHAnsi" w:cstheme="majorHAnsi"/>
          <w:sz w:val="20"/>
        </w:rPr>
        <w:t>Krippen</w:t>
      </w:r>
      <w:r w:rsidRPr="00F26783">
        <w:rPr>
          <w:rFonts w:asciiTheme="majorHAnsi" w:hAnsiTheme="majorHAnsi" w:cstheme="majorHAnsi"/>
          <w:sz w:val="20"/>
        </w:rPr>
        <w:t>kinder, die in der Einrichtung ihren Mittagsschlaf halten. Damit das klappt, sind neben einfühlsamen Erzieherinnen und Erziehern auch Liegeflächen in ausreichender Anzahl notwendig. Der Trend zeigt, dass immer mehr ganz kleine und</w:t>
      </w:r>
      <w:r w:rsidR="00960A59">
        <w:rPr>
          <w:rFonts w:asciiTheme="majorHAnsi" w:hAnsiTheme="majorHAnsi" w:cstheme="majorHAnsi"/>
          <w:sz w:val="20"/>
        </w:rPr>
        <w:t xml:space="preserve"> damit </w:t>
      </w:r>
      <w:r w:rsidRPr="00F26783">
        <w:rPr>
          <w:rFonts w:asciiTheme="majorHAnsi" w:hAnsiTheme="majorHAnsi" w:cstheme="majorHAnsi"/>
          <w:sz w:val="20"/>
        </w:rPr>
        <w:t>besonders schlafbedürftige Gäste in der Einrichtung unterkommen – und diese wächst so leicht natürlich nicht mit.</w:t>
      </w:r>
    </w:p>
    <w:p w:rsidR="00F26783" w:rsidRDefault="00F26783" w:rsidP="00960A59">
      <w:pPr>
        <w:ind w:right="1417"/>
        <w:rPr>
          <w:rFonts w:asciiTheme="majorHAnsi" w:hAnsiTheme="majorHAnsi" w:cstheme="majorHAnsi"/>
          <w:sz w:val="20"/>
        </w:rPr>
      </w:pPr>
    </w:p>
    <w:p w:rsidR="00F26783" w:rsidRPr="00F26783" w:rsidRDefault="00F26783" w:rsidP="00960A59">
      <w:pPr>
        <w:ind w:right="1417"/>
        <w:rPr>
          <w:rFonts w:asciiTheme="majorHAnsi" w:hAnsiTheme="majorHAnsi" w:cstheme="majorHAnsi"/>
          <w:sz w:val="20"/>
        </w:rPr>
      </w:pPr>
      <w:r w:rsidRPr="00F26783">
        <w:rPr>
          <w:rFonts w:asciiTheme="majorHAnsi" w:hAnsiTheme="majorHAnsi" w:cstheme="majorHAnsi"/>
          <w:sz w:val="20"/>
        </w:rPr>
        <w:t xml:space="preserve">Eine Spende in Höhe von 10.000 Euro durch die Johanna-und-Wilhelm-Bott-Stiftung soll nun dazu beitragen, mehr Platz zu schaffen. Dazu fließt das Geld in ein zweistöckiges Schlafpodest, eine Art großes Stockbett, das der zunehmenden Anzahl von Kindern gerecht wird. Besonders massiv und sicher gebaut, soll es zahlreichen Kindergenerationen einen geruhsamen Mittagsschlaf ermöglichen. </w:t>
      </w:r>
    </w:p>
    <w:p w:rsidR="00F26783" w:rsidRDefault="00F26783" w:rsidP="00960A59">
      <w:pPr>
        <w:ind w:right="1417"/>
        <w:rPr>
          <w:rFonts w:asciiTheme="majorHAnsi" w:hAnsiTheme="majorHAnsi" w:cstheme="majorHAnsi"/>
          <w:sz w:val="20"/>
        </w:rPr>
      </w:pPr>
    </w:p>
    <w:p w:rsidR="00752DE3" w:rsidRPr="00752DE3" w:rsidRDefault="00F26783" w:rsidP="00960A59">
      <w:pPr>
        <w:ind w:right="1417"/>
        <w:rPr>
          <w:rFonts w:asciiTheme="majorHAnsi" w:hAnsiTheme="majorHAnsi" w:cstheme="majorHAnsi"/>
          <w:sz w:val="20"/>
        </w:rPr>
      </w:pPr>
      <w:r w:rsidRPr="00F26783">
        <w:rPr>
          <w:rFonts w:asciiTheme="majorHAnsi" w:hAnsiTheme="majorHAnsi" w:cstheme="majorHAnsi"/>
          <w:sz w:val="20"/>
        </w:rPr>
        <w:t>Die Johanna-und-Wilhelm-Bott-Stiftung und die Bott Gruppe wünschen viel Freude mit der neuen Schlafgelegenheit, frohe Festtage und natürlich süße Träume.</w:t>
      </w:r>
    </w:p>
    <w:p w:rsidR="00752DE3" w:rsidRPr="00752DE3" w:rsidRDefault="00752DE3" w:rsidP="007C49B4">
      <w:pPr>
        <w:ind w:right="1417"/>
        <w:rPr>
          <w:rFonts w:ascii="Frutiger 45 Light" w:hAnsi="Frutiger 45 Light"/>
          <w:sz w:val="18"/>
          <w:szCs w:val="18"/>
        </w:rPr>
      </w:pPr>
    </w:p>
    <w:p w:rsidR="00752DE3" w:rsidRPr="00960A59" w:rsidRDefault="00752DE3" w:rsidP="007C49B4">
      <w:pPr>
        <w:ind w:right="1417"/>
        <w:rPr>
          <w:rFonts w:asciiTheme="majorHAnsi" w:hAnsiTheme="majorHAnsi" w:cstheme="majorHAnsi"/>
          <w:sz w:val="20"/>
        </w:rPr>
      </w:pPr>
      <w:r w:rsidRPr="00960A59">
        <w:rPr>
          <w:rFonts w:asciiTheme="majorHAnsi" w:hAnsiTheme="majorHAnsi" w:cstheme="majorHAnsi"/>
          <w:sz w:val="20"/>
        </w:rPr>
        <w:t>Bildmaterial:</w:t>
      </w:r>
    </w:p>
    <w:p w:rsidR="00752DE3" w:rsidRPr="00960A59" w:rsidRDefault="00752DE3" w:rsidP="007C49B4">
      <w:pPr>
        <w:ind w:right="1417"/>
        <w:rPr>
          <w:rFonts w:asciiTheme="majorHAnsi" w:hAnsiTheme="majorHAnsi" w:cstheme="majorHAnsi"/>
          <w:sz w:val="20"/>
        </w:rPr>
      </w:pPr>
    </w:p>
    <w:p w:rsidR="00752DE3" w:rsidRPr="00960A59" w:rsidRDefault="00F26783" w:rsidP="00F26783">
      <w:pPr>
        <w:pStyle w:val="Listenabsatz"/>
        <w:numPr>
          <w:ilvl w:val="0"/>
          <w:numId w:val="31"/>
        </w:numPr>
        <w:ind w:right="1417"/>
        <w:rPr>
          <w:rFonts w:asciiTheme="majorHAnsi" w:eastAsia="Times New Roman" w:hAnsiTheme="majorHAnsi" w:cstheme="majorHAnsi"/>
          <w:sz w:val="20"/>
          <w:szCs w:val="20"/>
          <w:lang w:eastAsia="de-DE"/>
        </w:rPr>
      </w:pPr>
      <w:r w:rsidRPr="00960A59">
        <w:rPr>
          <w:rFonts w:asciiTheme="majorHAnsi" w:eastAsia="Times New Roman" w:hAnsiTheme="majorHAnsi" w:cstheme="majorHAnsi"/>
          <w:sz w:val="20"/>
          <w:szCs w:val="20"/>
          <w:lang w:eastAsia="de-DE"/>
        </w:rPr>
        <w:t xml:space="preserve">Von links: </w:t>
      </w:r>
      <w:r w:rsidR="00F353A2">
        <w:rPr>
          <w:rFonts w:asciiTheme="majorHAnsi" w:eastAsia="Times New Roman" w:hAnsiTheme="majorHAnsi" w:cstheme="majorHAnsi"/>
          <w:sz w:val="20"/>
          <w:szCs w:val="20"/>
          <w:lang w:eastAsia="de-DE"/>
        </w:rPr>
        <w:t xml:space="preserve">Annette Klingler, </w:t>
      </w:r>
      <w:r w:rsidR="00F353A2" w:rsidRPr="00F353A2">
        <w:rPr>
          <w:rFonts w:asciiTheme="majorHAnsi" w:hAnsiTheme="majorHAnsi" w:cstheme="majorHAnsi"/>
          <w:sz w:val="20"/>
        </w:rPr>
        <w:t xml:space="preserve">Gesellschafterin und Vorsitzende der </w:t>
      </w:r>
      <w:r w:rsidR="00F353A2" w:rsidRPr="00F26783">
        <w:rPr>
          <w:rFonts w:asciiTheme="majorHAnsi" w:hAnsiTheme="majorHAnsi" w:cstheme="majorHAnsi"/>
          <w:sz w:val="20"/>
        </w:rPr>
        <w:t>Johanna-und-Wilhelm-Bott-Stiftung</w:t>
      </w:r>
      <w:r w:rsidR="00F353A2">
        <w:rPr>
          <w:rFonts w:asciiTheme="majorHAnsi" w:hAnsiTheme="majorHAnsi" w:cstheme="majorHAnsi"/>
          <w:sz w:val="20"/>
        </w:rPr>
        <w:t xml:space="preserve">, Carolin Manz, Regionalleitung Baden-Württemberg der </w:t>
      </w:r>
      <w:proofErr w:type="spellStart"/>
      <w:r w:rsidR="00F353A2" w:rsidRPr="00F26783">
        <w:rPr>
          <w:rFonts w:asciiTheme="majorHAnsi" w:hAnsiTheme="majorHAnsi" w:cstheme="majorHAnsi"/>
          <w:sz w:val="20"/>
        </w:rPr>
        <w:t>Diakoneo</w:t>
      </w:r>
      <w:proofErr w:type="spellEnd"/>
      <w:r w:rsidR="00F353A2" w:rsidRPr="00F26783">
        <w:rPr>
          <w:rFonts w:asciiTheme="majorHAnsi" w:hAnsiTheme="majorHAnsi" w:cstheme="majorHAnsi"/>
          <w:sz w:val="20"/>
        </w:rPr>
        <w:t xml:space="preserve"> Sonnenhof Schwäbisch Hall </w:t>
      </w:r>
      <w:r w:rsidR="00E37B05">
        <w:rPr>
          <w:rFonts w:asciiTheme="majorHAnsi" w:hAnsiTheme="majorHAnsi" w:cstheme="majorHAnsi"/>
          <w:sz w:val="20"/>
        </w:rPr>
        <w:t>g</w:t>
      </w:r>
      <w:r w:rsidR="00F353A2" w:rsidRPr="00F26783">
        <w:rPr>
          <w:rFonts w:asciiTheme="majorHAnsi" w:hAnsiTheme="majorHAnsi" w:cstheme="majorHAnsi"/>
          <w:sz w:val="20"/>
        </w:rPr>
        <w:t>GmbH</w:t>
      </w:r>
      <w:r w:rsidR="00F353A2">
        <w:rPr>
          <w:rFonts w:asciiTheme="majorHAnsi" w:hAnsiTheme="majorHAnsi" w:cstheme="majorHAnsi"/>
          <w:sz w:val="20"/>
        </w:rPr>
        <w:t xml:space="preserve"> </w:t>
      </w:r>
      <w:r w:rsidRPr="00960A59">
        <w:rPr>
          <w:rFonts w:asciiTheme="majorHAnsi" w:eastAsia="Times New Roman" w:hAnsiTheme="majorHAnsi" w:cstheme="majorHAnsi"/>
          <w:sz w:val="20"/>
          <w:szCs w:val="20"/>
          <w:lang w:eastAsia="de-DE"/>
        </w:rPr>
        <w:t>sowie Jan Willem Jongert, CEO und Sprecher der Geschäftsführung der Bott Gruppe</w:t>
      </w:r>
      <w:r w:rsidR="00693A95">
        <w:rPr>
          <w:rFonts w:asciiTheme="majorHAnsi" w:eastAsia="Times New Roman" w:hAnsiTheme="majorHAnsi" w:cstheme="majorHAnsi"/>
          <w:sz w:val="20"/>
          <w:szCs w:val="20"/>
          <w:lang w:eastAsia="de-DE"/>
        </w:rPr>
        <w:t>.</w:t>
      </w:r>
    </w:p>
    <w:p w:rsidR="00752DE3" w:rsidRPr="00752DE3" w:rsidRDefault="00752DE3" w:rsidP="007C49B4">
      <w:pPr>
        <w:ind w:right="1417"/>
        <w:rPr>
          <w:rFonts w:asciiTheme="majorHAnsi" w:hAnsiTheme="majorHAnsi" w:cstheme="majorHAnsi"/>
        </w:rPr>
      </w:pPr>
    </w:p>
    <w:p w:rsidR="00091B95" w:rsidRPr="00960A59" w:rsidRDefault="00752DE3" w:rsidP="00960A59">
      <w:pPr>
        <w:ind w:right="1417"/>
        <w:rPr>
          <w:rFonts w:asciiTheme="majorHAnsi" w:hAnsiTheme="majorHAnsi" w:cstheme="majorHAnsi"/>
          <w:color w:val="7F7F7F" w:themeColor="text1" w:themeTint="80"/>
          <w:sz w:val="20"/>
        </w:rPr>
      </w:pPr>
      <w:r w:rsidRPr="00960A59">
        <w:rPr>
          <w:rFonts w:asciiTheme="majorHAnsi" w:hAnsiTheme="majorHAnsi" w:cstheme="majorHAnsi"/>
          <w:color w:val="7F7F7F" w:themeColor="text1" w:themeTint="80"/>
          <w:sz w:val="20"/>
        </w:rPr>
        <w:t xml:space="preserve">Fahrzeug- und Betriebseinrichtungen von </w:t>
      </w:r>
      <w:proofErr w:type="spellStart"/>
      <w:r w:rsidRPr="00960A59">
        <w:rPr>
          <w:rFonts w:asciiTheme="majorHAnsi" w:hAnsiTheme="majorHAnsi" w:cstheme="majorHAnsi"/>
          <w:color w:val="7F7F7F" w:themeColor="text1" w:themeTint="80"/>
          <w:sz w:val="20"/>
        </w:rPr>
        <w:t>bott</w:t>
      </w:r>
      <w:proofErr w:type="spellEnd"/>
      <w:r w:rsidRPr="00960A59">
        <w:rPr>
          <w:rFonts w:asciiTheme="majorHAnsi" w:hAnsiTheme="majorHAnsi" w:cstheme="majorHAnsi"/>
          <w:color w:val="7F7F7F" w:themeColor="text1" w:themeTint="80"/>
          <w:sz w:val="20"/>
        </w:rPr>
        <w:t xml:space="preserve"> machen effizientes Arbeiten zur Selbstverständlichkeit. Dabei setzt </w:t>
      </w:r>
      <w:proofErr w:type="spellStart"/>
      <w:r w:rsidRPr="00960A59">
        <w:rPr>
          <w:rFonts w:asciiTheme="majorHAnsi" w:hAnsiTheme="majorHAnsi" w:cstheme="majorHAnsi"/>
          <w:color w:val="7F7F7F" w:themeColor="text1" w:themeTint="80"/>
          <w:sz w:val="20"/>
        </w:rPr>
        <w:t>bott</w:t>
      </w:r>
      <w:proofErr w:type="spellEnd"/>
      <w:r w:rsidRPr="00960A59">
        <w:rPr>
          <w:rFonts w:asciiTheme="majorHAnsi" w:hAnsiTheme="majorHAnsi" w:cstheme="majorHAnsi"/>
          <w:color w:val="7F7F7F" w:themeColor="text1" w:themeTint="80"/>
          <w:sz w:val="20"/>
        </w:rPr>
        <w:t xml:space="preserve"> auf individuell konfigurierbare Lösungen: Hochwertige und robuste Fahrzeugausbauten nutzen optimal den vorhandenen Stauraum und sichern die Ladung ideal. Als </w:t>
      </w:r>
      <w:proofErr w:type="spellStart"/>
      <w:r w:rsidRPr="00960A59">
        <w:rPr>
          <w:rFonts w:asciiTheme="majorHAnsi" w:hAnsiTheme="majorHAnsi" w:cstheme="majorHAnsi"/>
          <w:color w:val="7F7F7F" w:themeColor="text1" w:themeTint="80"/>
          <w:sz w:val="20"/>
        </w:rPr>
        <w:t>Full</w:t>
      </w:r>
      <w:proofErr w:type="spellEnd"/>
      <w:r w:rsidRPr="00960A59">
        <w:rPr>
          <w:rFonts w:asciiTheme="majorHAnsi" w:hAnsiTheme="majorHAnsi" w:cstheme="majorHAnsi"/>
          <w:color w:val="7F7F7F" w:themeColor="text1" w:themeTint="80"/>
          <w:sz w:val="20"/>
        </w:rPr>
        <w:t xml:space="preserve">-Service-Dienstleister gehören Fahrzeugbeschriftungen und Elektroinstallationen ebenso zum Leistungsspektrum wie die Zulassung und die dezentrale Auslieferung. Werkstätten und Produktionsbetriebe stattet </w:t>
      </w:r>
      <w:proofErr w:type="spellStart"/>
      <w:r w:rsidRPr="00960A59">
        <w:rPr>
          <w:rFonts w:asciiTheme="majorHAnsi" w:hAnsiTheme="majorHAnsi" w:cstheme="majorHAnsi"/>
          <w:color w:val="7F7F7F" w:themeColor="text1" w:themeTint="80"/>
          <w:sz w:val="20"/>
        </w:rPr>
        <w:t>bott</w:t>
      </w:r>
      <w:proofErr w:type="spellEnd"/>
      <w:r w:rsidRPr="00960A59">
        <w:rPr>
          <w:rFonts w:asciiTheme="majorHAnsi" w:hAnsiTheme="majorHAnsi" w:cstheme="majorHAnsi"/>
          <w:color w:val="7F7F7F" w:themeColor="text1" w:themeTint="80"/>
          <w:sz w:val="20"/>
        </w:rPr>
        <w:t xml:space="preserve"> mit maßgeschneiderten, ergonomischen Einrichtungen und Ordnungssystemen aus. Vom Einzelarbeitsplatz bis zur industriellen Serienfertigung optimiert </w:t>
      </w:r>
      <w:proofErr w:type="spellStart"/>
      <w:r w:rsidRPr="00960A59">
        <w:rPr>
          <w:rFonts w:asciiTheme="majorHAnsi" w:hAnsiTheme="majorHAnsi" w:cstheme="majorHAnsi"/>
          <w:color w:val="7F7F7F" w:themeColor="text1" w:themeTint="80"/>
          <w:sz w:val="20"/>
        </w:rPr>
        <w:t>bott</w:t>
      </w:r>
      <w:proofErr w:type="spellEnd"/>
      <w:r w:rsidRPr="00960A59">
        <w:rPr>
          <w:rFonts w:asciiTheme="majorHAnsi" w:hAnsiTheme="majorHAnsi" w:cstheme="majorHAnsi"/>
          <w:color w:val="7F7F7F" w:themeColor="text1" w:themeTint="80"/>
          <w:sz w:val="20"/>
        </w:rPr>
        <w:t xml:space="preserve"> Produktionsprozesse. Durch die intelligenten und automatisierten Montage- und Prüfsysteme des Tochterunternehmens ELABO agiert die Bott Gruppe als Systemanbieter. Ob selbstständiger Handwerker oder industrieller Großkonzern – Kunden verschiedenster Branchen vertrauen auf </w:t>
      </w:r>
      <w:proofErr w:type="spellStart"/>
      <w:r w:rsidRPr="00960A59">
        <w:rPr>
          <w:rFonts w:asciiTheme="majorHAnsi" w:hAnsiTheme="majorHAnsi" w:cstheme="majorHAnsi"/>
          <w:color w:val="7F7F7F" w:themeColor="text1" w:themeTint="80"/>
          <w:sz w:val="20"/>
        </w:rPr>
        <w:t>bott</w:t>
      </w:r>
      <w:proofErr w:type="spellEnd"/>
      <w:r w:rsidRPr="00960A59">
        <w:rPr>
          <w:rFonts w:asciiTheme="majorHAnsi" w:hAnsiTheme="majorHAnsi" w:cstheme="majorHAnsi"/>
          <w:color w:val="7F7F7F" w:themeColor="text1" w:themeTint="80"/>
          <w:sz w:val="20"/>
        </w:rPr>
        <w:t>.</w:t>
      </w:r>
    </w:p>
    <w:p w:rsidR="007C49B4" w:rsidRPr="00960A59" w:rsidRDefault="007C49B4" w:rsidP="00960A59">
      <w:pPr>
        <w:ind w:right="1417"/>
        <w:rPr>
          <w:rFonts w:asciiTheme="majorHAnsi" w:hAnsiTheme="majorHAnsi" w:cstheme="majorHAnsi"/>
          <w:color w:val="7F7F7F" w:themeColor="text1" w:themeTint="80"/>
          <w:sz w:val="20"/>
        </w:rPr>
      </w:pPr>
    </w:p>
    <w:p w:rsidR="007C49B4" w:rsidRPr="00960A59" w:rsidRDefault="007C49B4" w:rsidP="00960A59">
      <w:pPr>
        <w:pStyle w:val="StandardWeb"/>
        <w:ind w:right="1417"/>
        <w:rPr>
          <w:rFonts w:asciiTheme="majorHAnsi" w:eastAsia="Times New Roman" w:hAnsiTheme="majorHAnsi" w:cstheme="majorHAnsi"/>
          <w:color w:val="7F7F7F" w:themeColor="text1" w:themeTint="80"/>
          <w:szCs w:val="20"/>
          <w:lang w:eastAsia="de-DE"/>
        </w:rPr>
      </w:pPr>
      <w:r w:rsidRPr="00960A59">
        <w:rPr>
          <w:rFonts w:asciiTheme="majorHAnsi" w:eastAsia="Times New Roman" w:hAnsiTheme="majorHAnsi" w:cstheme="majorHAnsi"/>
          <w:color w:val="7F7F7F" w:themeColor="text1" w:themeTint="80"/>
          <w:szCs w:val="20"/>
          <w:lang w:eastAsia="de-DE"/>
        </w:rPr>
        <w:t xml:space="preserve">Im Geschäftsjahr 2023 erzielte </w:t>
      </w:r>
      <w:proofErr w:type="spellStart"/>
      <w:r w:rsidRPr="00960A59">
        <w:rPr>
          <w:rFonts w:asciiTheme="majorHAnsi" w:eastAsia="Times New Roman" w:hAnsiTheme="majorHAnsi" w:cstheme="majorHAnsi"/>
          <w:color w:val="7F7F7F" w:themeColor="text1" w:themeTint="80"/>
          <w:szCs w:val="20"/>
          <w:lang w:eastAsia="de-DE"/>
        </w:rPr>
        <w:t>bott</w:t>
      </w:r>
      <w:proofErr w:type="spellEnd"/>
      <w:r w:rsidRPr="00960A59">
        <w:rPr>
          <w:rFonts w:asciiTheme="majorHAnsi" w:eastAsia="Times New Roman" w:hAnsiTheme="majorHAnsi" w:cstheme="majorHAnsi"/>
          <w:color w:val="7F7F7F" w:themeColor="text1" w:themeTint="80"/>
          <w:szCs w:val="20"/>
          <w:lang w:eastAsia="de-DE"/>
        </w:rPr>
        <w:t xml:space="preserve"> einen Umsatz von 22</w:t>
      </w:r>
      <w:r w:rsidR="004D16FD" w:rsidRPr="00960A59">
        <w:rPr>
          <w:rFonts w:asciiTheme="majorHAnsi" w:eastAsia="Times New Roman" w:hAnsiTheme="majorHAnsi" w:cstheme="majorHAnsi"/>
          <w:color w:val="7F7F7F" w:themeColor="text1" w:themeTint="80"/>
          <w:szCs w:val="20"/>
          <w:lang w:eastAsia="de-DE"/>
        </w:rPr>
        <w:t>2</w:t>
      </w:r>
      <w:r w:rsidRPr="00960A59">
        <w:rPr>
          <w:rFonts w:asciiTheme="majorHAnsi" w:eastAsia="Times New Roman" w:hAnsiTheme="majorHAnsi" w:cstheme="majorHAnsi"/>
          <w:color w:val="7F7F7F" w:themeColor="text1" w:themeTint="80"/>
          <w:szCs w:val="20"/>
          <w:lang w:eastAsia="de-DE"/>
        </w:rPr>
        <w:t xml:space="preserve"> Millionen Euro. Das Unternehmen beschäftigt fast 1.500 Mitarbeiter an 4 Produktionsstätten und mehr als 100 Vertriebs- und Servicestandorten in 35 Ländern.</w:t>
      </w:r>
    </w:p>
    <w:sectPr w:rsidR="007C49B4" w:rsidRPr="00960A59" w:rsidSect="00D11FDF">
      <w:headerReference w:type="default" r:id="rId9"/>
      <w:footerReference w:type="default" r:id="rId10"/>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1AD6" w:rsidRDefault="008A1AD6">
      <w:r>
        <w:separator/>
      </w:r>
    </w:p>
  </w:endnote>
  <w:endnote w:type="continuationSeparator" w:id="0">
    <w:p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rutiger 45 Light">
    <w:altName w:val="Arial Narrow"/>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688F13C" wp14:editId="7E9B951C">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688F13C"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" fillcolor="#d8d8d8 [2732]" stroked="f">
              <v:path arrowok="t"/>
              <o:lock v:ext="edit" grouping="t"/>
              <v:textbox>
                <w:txbxContent>
                  <w:p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1AD6" w:rsidRDefault="008A1AD6">
      <w:r>
        <w:separator/>
      </w:r>
    </w:p>
  </w:footnote>
  <w:footnote w:type="continuationSeparator" w:id="0">
    <w:p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FDF" w:rsidRDefault="000863A1">
    <w:pPr>
      <w:pStyle w:val="Kopfzeile"/>
    </w:pPr>
    <w:r w:rsidRPr="000863A1">
      <w:rPr>
        <w:noProof/>
      </w:rPr>
      <w:drawing>
        <wp:anchor distT="0" distB="0" distL="114300" distR="114300" simplePos="0" relativeHeight="251658240" behindDoc="0" locked="0" layoutInCell="1" allowOverlap="1">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6"/>
  </w:num>
  <w:num w:numId="2">
    <w:abstractNumId w:val="6"/>
  </w:num>
  <w:num w:numId="3">
    <w:abstractNumId w:val="6"/>
  </w:num>
  <w:num w:numId="4">
    <w:abstractNumId w:val="6"/>
  </w:num>
  <w:num w:numId="5">
    <w:abstractNumId w:val="6"/>
  </w:num>
  <w:num w:numId="6">
    <w:abstractNumId w:val="6"/>
  </w:num>
  <w:num w:numId="7">
    <w:abstractNumId w:val="6"/>
  </w:num>
  <w:num w:numId="8">
    <w:abstractNumId w:val="6"/>
  </w:num>
  <w:num w:numId="9">
    <w:abstractNumId w:val="6"/>
  </w:num>
  <w:num w:numId="10">
    <w:abstractNumId w:val="4"/>
  </w:num>
  <w:num w:numId="11">
    <w:abstractNumId w:val="4"/>
  </w:num>
  <w:num w:numId="12">
    <w:abstractNumId w:val="3"/>
  </w:num>
  <w:num w:numId="13">
    <w:abstractNumId w:val="3"/>
  </w:num>
  <w:num w:numId="14">
    <w:abstractNumId w:val="2"/>
  </w:num>
  <w:num w:numId="15">
    <w:abstractNumId w:val="2"/>
  </w:num>
  <w:num w:numId="16">
    <w:abstractNumId w:val="1"/>
  </w:num>
  <w:num w:numId="17">
    <w:abstractNumId w:val="1"/>
  </w:num>
  <w:num w:numId="18">
    <w:abstractNumId w:val="0"/>
  </w:num>
  <w:num w:numId="19">
    <w:abstractNumId w:val="0"/>
  </w:num>
  <w:num w:numId="20">
    <w:abstractNumId w:val="6"/>
  </w:num>
  <w:num w:numId="21">
    <w:abstractNumId w:val="4"/>
  </w:num>
  <w:num w:numId="22">
    <w:abstractNumId w:val="3"/>
  </w:num>
  <w:num w:numId="23">
    <w:abstractNumId w:val="2"/>
  </w:num>
  <w:num w:numId="24">
    <w:abstractNumId w:val="1"/>
  </w:num>
  <w:num w:numId="25">
    <w:abstractNumId w:val="0"/>
  </w:num>
  <w:num w:numId="26">
    <w:abstractNumId w:val="4"/>
  </w:num>
  <w:num w:numId="27">
    <w:abstractNumId w:val="3"/>
  </w:num>
  <w:num w:numId="28">
    <w:abstractNumId w:val="2"/>
  </w:num>
  <w:num w:numId="29">
    <w:abstractNumId w:val="1"/>
  </w:num>
  <w:num w:numId="30">
    <w:abstractNumId w:val="0"/>
  </w:num>
  <w:num w:numId="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embedSystemFonts/>
  <w:activeWritingStyle w:appName="MSWord" w:lang="de-DE" w:vendorID="64" w:dllVersion="131078" w:nlCheck="1" w:checkStyle="0"/>
  <w:proofState w:spelling="clean" w:grammar="clean"/>
  <w:attachedTemplate r:id="rId1"/>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1AD6"/>
    <w:rsid w:val="00020E1D"/>
    <w:rsid w:val="00046A81"/>
    <w:rsid w:val="000830B9"/>
    <w:rsid w:val="000863A1"/>
    <w:rsid w:val="00091B95"/>
    <w:rsid w:val="0009486F"/>
    <w:rsid w:val="000B08EA"/>
    <w:rsid w:val="000E3525"/>
    <w:rsid w:val="000E7B55"/>
    <w:rsid w:val="000F3835"/>
    <w:rsid w:val="000F3E4C"/>
    <w:rsid w:val="000F64B2"/>
    <w:rsid w:val="001269A5"/>
    <w:rsid w:val="00131BE7"/>
    <w:rsid w:val="00143F29"/>
    <w:rsid w:val="0015471B"/>
    <w:rsid w:val="00160981"/>
    <w:rsid w:val="00176214"/>
    <w:rsid w:val="00184DEA"/>
    <w:rsid w:val="001A1F40"/>
    <w:rsid w:val="001B15C8"/>
    <w:rsid w:val="001E0489"/>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7134"/>
    <w:rsid w:val="002F7DF4"/>
    <w:rsid w:val="003048B0"/>
    <w:rsid w:val="00311F88"/>
    <w:rsid w:val="003248A6"/>
    <w:rsid w:val="00327082"/>
    <w:rsid w:val="00330292"/>
    <w:rsid w:val="00347C06"/>
    <w:rsid w:val="00376B09"/>
    <w:rsid w:val="003813CD"/>
    <w:rsid w:val="003A026D"/>
    <w:rsid w:val="003A1F01"/>
    <w:rsid w:val="003A5639"/>
    <w:rsid w:val="003C28E4"/>
    <w:rsid w:val="003E0F06"/>
    <w:rsid w:val="003F082A"/>
    <w:rsid w:val="003F2DEE"/>
    <w:rsid w:val="004242E8"/>
    <w:rsid w:val="00430B2D"/>
    <w:rsid w:val="00462B68"/>
    <w:rsid w:val="00480CAE"/>
    <w:rsid w:val="004840B1"/>
    <w:rsid w:val="00493299"/>
    <w:rsid w:val="00497160"/>
    <w:rsid w:val="004D16FD"/>
    <w:rsid w:val="004D39FF"/>
    <w:rsid w:val="004D54B4"/>
    <w:rsid w:val="004F735E"/>
    <w:rsid w:val="005237E5"/>
    <w:rsid w:val="00542C9B"/>
    <w:rsid w:val="005907F2"/>
    <w:rsid w:val="005B73D1"/>
    <w:rsid w:val="005C4614"/>
    <w:rsid w:val="005D006C"/>
    <w:rsid w:val="005E292B"/>
    <w:rsid w:val="005F745D"/>
    <w:rsid w:val="00610D1F"/>
    <w:rsid w:val="0061252D"/>
    <w:rsid w:val="00626309"/>
    <w:rsid w:val="00662D3D"/>
    <w:rsid w:val="0066518F"/>
    <w:rsid w:val="006748D5"/>
    <w:rsid w:val="00674A40"/>
    <w:rsid w:val="00687FF5"/>
    <w:rsid w:val="00693A95"/>
    <w:rsid w:val="00693CCC"/>
    <w:rsid w:val="006B12E5"/>
    <w:rsid w:val="006B2FD1"/>
    <w:rsid w:val="006B568D"/>
    <w:rsid w:val="006C036E"/>
    <w:rsid w:val="006C1AE0"/>
    <w:rsid w:val="006C7870"/>
    <w:rsid w:val="006D1FCF"/>
    <w:rsid w:val="00752DE3"/>
    <w:rsid w:val="007B4614"/>
    <w:rsid w:val="007C49B4"/>
    <w:rsid w:val="007F6A7E"/>
    <w:rsid w:val="007F6DFF"/>
    <w:rsid w:val="0080411F"/>
    <w:rsid w:val="0085636E"/>
    <w:rsid w:val="008748D9"/>
    <w:rsid w:val="00874EB1"/>
    <w:rsid w:val="00891AD8"/>
    <w:rsid w:val="008930A7"/>
    <w:rsid w:val="008A1AD6"/>
    <w:rsid w:val="008A70EB"/>
    <w:rsid w:val="008B4BB4"/>
    <w:rsid w:val="00960A59"/>
    <w:rsid w:val="009718C8"/>
    <w:rsid w:val="00977E30"/>
    <w:rsid w:val="00990C3C"/>
    <w:rsid w:val="009E64EF"/>
    <w:rsid w:val="009F79C7"/>
    <w:rsid w:val="00A04E4F"/>
    <w:rsid w:val="00A37C11"/>
    <w:rsid w:val="00A45D03"/>
    <w:rsid w:val="00A64D2C"/>
    <w:rsid w:val="00A65AAA"/>
    <w:rsid w:val="00A716BE"/>
    <w:rsid w:val="00AA717B"/>
    <w:rsid w:val="00AB063E"/>
    <w:rsid w:val="00AC62AA"/>
    <w:rsid w:val="00AF3134"/>
    <w:rsid w:val="00AF47A2"/>
    <w:rsid w:val="00B109E8"/>
    <w:rsid w:val="00B250FE"/>
    <w:rsid w:val="00B30D61"/>
    <w:rsid w:val="00B327C1"/>
    <w:rsid w:val="00B55441"/>
    <w:rsid w:val="00B73531"/>
    <w:rsid w:val="00BA057C"/>
    <w:rsid w:val="00BA61CB"/>
    <w:rsid w:val="00BB12DE"/>
    <w:rsid w:val="00BC0544"/>
    <w:rsid w:val="00BC2C71"/>
    <w:rsid w:val="00C17BAE"/>
    <w:rsid w:val="00C35486"/>
    <w:rsid w:val="00C54248"/>
    <w:rsid w:val="00C55DBF"/>
    <w:rsid w:val="00C64F8F"/>
    <w:rsid w:val="00C76344"/>
    <w:rsid w:val="00C8495D"/>
    <w:rsid w:val="00C94C76"/>
    <w:rsid w:val="00C94DFB"/>
    <w:rsid w:val="00CA01C4"/>
    <w:rsid w:val="00CD0894"/>
    <w:rsid w:val="00CD4BFE"/>
    <w:rsid w:val="00CE0B41"/>
    <w:rsid w:val="00CE2F55"/>
    <w:rsid w:val="00D0199D"/>
    <w:rsid w:val="00D04E38"/>
    <w:rsid w:val="00D11FDF"/>
    <w:rsid w:val="00D5163C"/>
    <w:rsid w:val="00D7157B"/>
    <w:rsid w:val="00D86AC8"/>
    <w:rsid w:val="00DA23E6"/>
    <w:rsid w:val="00DB561C"/>
    <w:rsid w:val="00E02091"/>
    <w:rsid w:val="00E15E00"/>
    <w:rsid w:val="00E34E39"/>
    <w:rsid w:val="00E37B05"/>
    <w:rsid w:val="00EB7CD6"/>
    <w:rsid w:val="00EC71AA"/>
    <w:rsid w:val="00EE7FAA"/>
    <w:rsid w:val="00F14C9D"/>
    <w:rsid w:val="00F246B6"/>
    <w:rsid w:val="00F25E27"/>
    <w:rsid w:val="00F26783"/>
    <w:rsid w:val="00F27678"/>
    <w:rsid w:val="00F353A2"/>
    <w:rsid w:val="00F4124D"/>
    <w:rsid w:val="00F42124"/>
    <w:rsid w:val="00F501B4"/>
    <w:rsid w:val="00F63690"/>
    <w:rsid w:val="00F65F23"/>
    <w:rsid w:val="00F67B35"/>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BAAC300"/>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1">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16037926">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 w:id="2097896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E34507-8E8A-472B-9185-9EFA00569D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1</Pages>
  <Words>423</Words>
  <Characters>2665</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3082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2</cp:revision>
  <dcterms:created xsi:type="dcterms:W3CDTF">2024-12-09T09:27:00Z</dcterms:created>
  <dcterms:modified xsi:type="dcterms:W3CDTF">2024-12-09T09:27:00Z</dcterms:modified>
</cp:coreProperties>
</file>